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740" w:hanging="732"/>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LIVERAMP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UPDATED Transaction Customer/Partner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LiveRamp has entered into a definitive agreement to be acquired by Publicis, a global leader in communications.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exciting transaction for LiveRamp – one that will enable us to build on the momentum underway across our business and deliver even greater value for our customers and partners.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before year-end 2026, subject to regulatory approvals, approval by LiveRamp's shareholders and other closing conditions.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close, LiveRamp will operate as an independent business within Publicis, and Scott Howe will continue to lead LiveRamp as its CEO.</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team is committed to ensuring that this is a seamless transition for all our customers and partners.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Publicis?</w:t>
      </w:r>
    </w:p>
    <w:p>
      <w:pPr>
        <w:spacing w:after="0" w:line="229" w:lineRule="exact"/>
        <w:rPr>
          <w:rFonts w:ascii="Times New Roman" w:cs="Times New Roman" w:eastAsia="Times New Roman" w:hAnsi="Times New Roman"/>
          <w:sz w:val="18"/>
          <w:szCs w:val="18"/>
          <w:b w:val="1"/>
          <w:bCs w:val="1"/>
          <w:color w:val="auto"/>
        </w:rPr>
      </w:pPr>
    </w:p>
    <w:p>
      <w:pPr>
        <w:ind w:left="660" w:right="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Publicis is a global leader in communications, with a strong track record of investing in businesses with significant growth potential and helping them scale.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long respected Publicis as a leader in the industry as well as a valued partner of LiveRamp.</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transaction announcement is a natural next step in that relationship, and serves as a testament to the valuable role LiveRamp plays across the data ecosystem.</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benefit LiveRamp customers and partners?</w:t>
      </w:r>
    </w:p>
    <w:p>
      <w:pPr>
        <w:spacing w:after="0" w:line="229" w:lineRule="exact"/>
        <w:rPr>
          <w:rFonts w:ascii="Times New Roman" w:cs="Times New Roman" w:eastAsia="Times New Roman" w:hAnsi="Times New Roman"/>
          <w:sz w:val="18"/>
          <w:szCs w:val="18"/>
          <w:b w:val="1"/>
          <w:bCs w:val="1"/>
          <w:color w:val="auto"/>
        </w:rPr>
      </w:pPr>
    </w:p>
    <w:p>
      <w:pPr>
        <w:ind w:left="660" w:right="14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confident that Publicis is the right strategic partner to help us expand our global presence, accelerate our next phase of growth, and bring our technology to more customers and partners around the world.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AI evolves toward more agentic applications, we’re confident that LiveRamp and Publicis will help enable customers to unlock even greater value through data co-creation and accelerate their business transformations.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look forward to continuing to execute against the same mission and customer commitments that have defined our success.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this announcement impact LiveRamp’s platform or how we work together?</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today’s announcement is an important milestone for LiveRamp, this is only the first step in the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LiveRamp and Publicis will continue to operate separately and it is business as usual.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points of contact, billing processes and day-to-day engagement with our team remain the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close, LiveRamp will operate as an independent business within Publicis, and Scott Howe will continue to lead LiveRamp as 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ind w:left="652" w:hanging="328"/>
        <w:spacing w:after="0"/>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other Publicis operations that work directly with partners and competitors, LiveRamp will maintain total neutrality.</w:t>
      </w:r>
    </w:p>
    <w:p>
      <w:pPr>
        <w:spacing w:after="0" w:line="225" w:lineRule="exact"/>
        <w:rPr>
          <w:rFonts w:ascii="Times New Roman" w:cs="Times New Roman" w:eastAsia="Times New Roman" w:hAnsi="Times New Roman"/>
          <w:sz w:val="18"/>
          <w:szCs w:val="18"/>
          <w:color w:val="auto"/>
        </w:rPr>
      </w:pPr>
    </w:p>
    <w:p>
      <w:pPr>
        <w:ind w:left="652" w:right="440" w:hanging="328"/>
        <w:spacing w:after="0" w:line="282" w:lineRule="auto"/>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LiveRamp will operate as an independent business to ensure Open Access, will not prohibit or restrict access to services for any current or potential customer and will remain fully interoperable.</w:t>
      </w:r>
    </w:p>
    <w:p>
      <w:pPr>
        <w:spacing w:after="0" w:line="161"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we expect this to be a seamless transition for our customers and partners.</w:t>
      </w:r>
    </w:p>
    <w:p>
      <w:pPr>
        <w:spacing w:after="0" w:line="221" w:lineRule="exact"/>
        <w:rPr>
          <w:rFonts w:ascii="Times New Roman" w:cs="Times New Roman" w:eastAsia="Times New Roman" w:hAnsi="Times New Roman"/>
          <w:sz w:val="18"/>
          <w:szCs w:val="18"/>
          <w:color w:val="auto"/>
        </w:rPr>
      </w:pPr>
    </w:p>
    <w:p>
      <w:pPr>
        <w:ind w:left="332" w:right="3580" w:hanging="332"/>
        <w:spacing w:after="0" w:line="530" w:lineRule="auto"/>
        <w:tabs>
          <w:tab w:leader="none" w:pos="33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When customers collaborate their data within LiveRamp’s platform, who owns the data? </w:t>
      </w:r>
      <w:r>
        <w:rPr>
          <w:rFonts w:ascii="Times New Roman" w:cs="Times New Roman" w:eastAsia="Times New Roman" w:hAnsi="Times New Roman"/>
          <w:sz w:val="17"/>
          <w:szCs w:val="17"/>
          <w:color w:val="auto"/>
        </w:rPr>
        <w:t>Customers own and control their data. They decide how it is used, by whom, and for what purpose.</w:t>
      </w:r>
    </w:p>
    <w:p>
      <w:pPr>
        <w:ind w:left="332" w:right="2300" w:hanging="332"/>
        <w:spacing w:after="0" w:line="530" w:lineRule="auto"/>
        <w:tabs>
          <w:tab w:leader="none" w:pos="33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When customers collaborate their data within LiveRamp’s platform, who owns the derived insights / outputs? </w:t>
      </w:r>
      <w:r>
        <w:rPr>
          <w:rFonts w:ascii="Times New Roman" w:cs="Times New Roman" w:eastAsia="Times New Roman" w:hAnsi="Times New Roman"/>
          <w:sz w:val="17"/>
          <w:szCs w:val="17"/>
          <w:color w:val="auto"/>
        </w:rPr>
        <w:t>Customers have complete control — this includes over the insights and outputs derived from data collaboration.</w:t>
      </w:r>
    </w:p>
    <w:p>
      <w:pPr>
        <w:ind w:left="332" w:hanging="332"/>
        <w:spacing w:after="0"/>
        <w:tabs>
          <w:tab w:leader="none" w:pos="33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LiveRamp’s neutrality or data protections change under Publicis?</w:t>
      </w:r>
    </w:p>
    <w:p>
      <w:pPr>
        <w:spacing w:after="0" w:line="229" w:lineRule="exact"/>
        <w:rPr>
          <w:rFonts w:ascii="Times New Roman" w:cs="Times New Roman" w:eastAsia="Times New Roman" w:hAnsi="Times New Roman"/>
          <w:sz w:val="18"/>
          <w:szCs w:val="18"/>
          <w:b w:val="1"/>
          <w:bCs w:val="1"/>
          <w:color w:val="auto"/>
        </w:rPr>
      </w:pPr>
    </w:p>
    <w:p>
      <w:pPr>
        <w:ind w:left="332"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Complete transparency and control is a fundamental requirement for data collaboration, and is engineered into every level of our platform. That will not change.</w:t>
      </w:r>
    </w:p>
    <w:p>
      <w:pPr>
        <w:spacing w:after="0" w:line="15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Publicis made any commitments to neutrality in connection with this transaction?</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remain neutral was one of the foundational reasons we decided to enter into this agreement with Publicis.</w:t>
      </w:r>
    </w:p>
    <w:p>
      <w:pPr>
        <w:spacing w:after="0" w:line="221" w:lineRule="exact"/>
        <w:rPr>
          <w:rFonts w:ascii="Times New Roman" w:cs="Times New Roman" w:eastAsia="Times New Roman" w:hAnsi="Times New Roman"/>
          <w:sz w:val="18"/>
          <w:szCs w:val="18"/>
          <w:b w:val="1"/>
          <w:bCs w:val="1"/>
          <w:color w:val="auto"/>
        </w:rPr>
      </w:pPr>
    </w:p>
    <w:p>
      <w:pPr>
        <w:ind w:left="332" w:right="60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They have a proven history of protecting neutrality in acquisition and growing acquired businesses because of it. In line with this, Publicis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committing to three clear operational requirements for neutrality:</w:t>
      </w:r>
    </w:p>
    <w:p>
      <w:pPr>
        <w:spacing w:after="0" w:line="159" w:lineRule="exact"/>
        <w:rPr>
          <w:sz w:val="20"/>
          <w:szCs w:val="20"/>
          <w:color w:val="auto"/>
        </w:rPr>
      </w:pPr>
    </w:p>
    <w:p>
      <w:pPr>
        <w:ind w:left="652" w:hanging="328"/>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LiveRamp service will be restricted;</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will remain protected by client contracts, ensuring privacy and control; and</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will not be changed beyond the normal course of business and standard business practices.</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is LiveRamp’s neutrality ensured / protected?</w:t>
      </w:r>
    </w:p>
    <w:p>
      <w:pPr>
        <w:spacing w:after="0" w:line="229" w:lineRule="exact"/>
        <w:rPr>
          <w:rFonts w:ascii="Times New Roman" w:cs="Times New Roman" w:eastAsia="Times New Roman" w:hAnsi="Times New Roman"/>
          <w:sz w:val="18"/>
          <w:szCs w:val="18"/>
          <w:b w:val="1"/>
          <w:bCs w:val="1"/>
          <w:color w:val="auto"/>
        </w:rPr>
      </w:pPr>
    </w:p>
    <w:p>
      <w:pPr>
        <w:ind w:left="332"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LiveRamp has neutrality in its DNA: Our collaboration technology and clean rooms operate with neutrality as a protected, tested, and audited condition of our business.</w:t>
      </w:r>
    </w:p>
    <w:p>
      <w:pPr>
        <w:spacing w:after="0" w:line="161" w:lineRule="exact"/>
        <w:rPr>
          <w:rFonts w:ascii="Times New Roman" w:cs="Times New Roman" w:eastAsia="Times New Roman" w:hAnsi="Times New Roman"/>
          <w:sz w:val="18"/>
          <w:szCs w:val="18"/>
          <w:b w:val="1"/>
          <w:bCs w:val="1"/>
          <w:color w:val="auto"/>
        </w:rPr>
      </w:pPr>
    </w:p>
    <w:p>
      <w:pPr>
        <w:ind w:left="3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Client data is protected, access is rigorously governed, controls are the client’s alone, and all of it is firewalled. Neutrality, and the power and value it delivers to our clients, is hard-coded into how we provide technology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52"/>
          </w:cols>
          <w:pgMar w:left="328" w:top="337" w:right="519" w:bottom="1440" w:gutter="0" w:footer="0" w:header="0"/>
        </w:sectPr>
      </w:pPr>
    </w:p>
    <w:bookmarkStart w:id="3" w:name="page4"/>
    <w:bookmarkEnd w:id="3"/>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assurances has Publicis given LiveRamp that it will remain neutral?</w:t>
      </w:r>
    </w:p>
    <w:p>
      <w:pPr>
        <w:spacing w:after="0" w:line="229" w:lineRule="exact"/>
        <w:rPr>
          <w:rFonts w:ascii="Times New Roman" w:cs="Times New Roman" w:eastAsia="Times New Roman" w:hAnsi="Times New Roman"/>
          <w:sz w:val="18"/>
          <w:szCs w:val="18"/>
          <w:b w:val="1"/>
          <w:bCs w:val="1"/>
          <w:color w:val="auto"/>
        </w:rPr>
      </w:pPr>
    </w:p>
    <w:p>
      <w:pPr>
        <w:ind w:left="34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Publicis has a proven history of protecting neutrality in acquisition and growing acquired businesses because of it — like Captiv8 and Influential, where 51% of growth comes from clients outside of Publicis, and many who are with competitors.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reach out to if I have additional questions?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Please reach out to your existing support channels and contacts if you have any additional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hyperlink r:id="rId18">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LiveRamp Holdings, Inc. will be filing documents with the SEC, including preliminary and definitive proxy statements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“Stock Ownership,” “Compensation Discussion and Analysis,” “Compensation Tables,” and “Non-Employee Director Compensation” included in LiveRamp’s proxy statement in connection with its 2025 Annual Meeting of Shareholders, filed with the SEC on </w:t>
      </w:r>
      <w:hyperlink r:id="rId20">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auto"/>
        </w:rPr>
        <w:t>; in the Form 3 and Form 4 initial statements of beneficial ownership and statements of changes in beneficial ownership filed with the SEC by LiveRamp’s directors and executive officers; and in other documents subsequently filed by LiveRamp with the SEC, including LiveRamp’s proxy statement relating to the proposed transaction when it becomes available. Investors and security holders may obtain free copies of these documents and other related documents filed with the SEC at the SEC’s website at www.sec.gov or on LiveRamp’s website at www.liveramp.com.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
      <w:numFmt w:val="bullet"/>
      <w:start w:val="1"/>
    </w:lvl>
  </w:abstractNum>
  <w:abstractNum w:abstractNumId="5">
    <w:nsid w:val="79E2A9E3"/>
    <w:multiLevelType w:val="hybridMultilevel"/>
    <w:lvl w:ilvl="0">
      <w:lvlJc w:val="left"/>
      <w:lvlText w:val="%1."/>
      <w:numFmt w:val="decimal"/>
      <w:start w:val="4"/>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9"/>
    </w:lvl>
    <w:lvl w:ilvl="1">
      <w:lvlJc w:val="left"/>
      <w:lvlText w:val="%2"/>
      <w:numFmt w:val="lowerLetter"/>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1" Type="http://schemas.openxmlformats.org/officeDocument/2006/relationships/image" Target="media/image12.png"/><Relationship Id="rId18" Type="http://schemas.openxmlformats.org/officeDocument/2006/relationships/hyperlink" Target="https://www.sec.gov/ix?doc=/Archives/edgar/data/733269/000073326926000025/ramp-20260331.htm#icd3c643dc0b84294b83d26bde1788a30_331" TargetMode="External"/><Relationship Id="rId20" Type="http://schemas.openxmlformats.org/officeDocument/2006/relationships/hyperlink" Target="https://www.sec.gov/ix?doc=/Archives/edgar/data/733269/000110465925063301/tm255764-4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2026-06-04T16:37:15Z</dcterms:created>
  <dcterms:modified xsi:type="dcterms:W3CDTF">2026-06-04T16:37:15Z</dcterms:modified>
</cp:coreProperties>
</file>